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47" w:val="left" w:leader="none"/>
        </w:tabs>
        <w:spacing w:line="240" w:lineRule="auto"/>
        <w:ind w:left="12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48262" cy="9858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262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1"/>
          <w:sz w:val="20"/>
        </w:rPr>
        <w:drawing>
          <wp:inline distT="0" distB="0" distL="0" distR="0">
            <wp:extent cx="1934899" cy="5095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99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1"/>
          <w:sz w:val="20"/>
        </w:rPr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274320</wp:posOffset>
            </wp:positionH>
            <wp:positionV relativeFrom="paragraph">
              <wp:posOffset>86740</wp:posOffset>
            </wp:positionV>
            <wp:extent cx="2165401" cy="21431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0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080002pt;margin-top:30.389969pt;width:6.85pt;height:10.7pt;mso-position-horizontal-relative:page;mso-position-vertical-relative:paragraph;z-index:-15728128;mso-wrap-distance-left:0;mso-wrap-distance-right:0" id="docshape1" coordorigin="2122,608" coordsize="137,214" path="m2258,798l2152,798,2152,608,2122,608,2122,798,2122,822,2258,822,2258,798xe" filled="true" fillcolor="#0fb1d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21.200005pt;margin-top:30.389969pt;width:7.9pt;height:10.7pt;mso-position-horizontal-relative:page;mso-position-vertical-relative:paragraph;z-index:-15727616;mso-wrap-distance-left:0;mso-wrap-distance-right:0" id="docshape2" coordorigin="2424,608" coordsize="158,214" path="m2581,798l2453,798,2453,724,2568,724,2568,700,2453,700,2453,634,2575,634,2575,608,2424,608,2424,634,2424,700,2424,724,2424,798,2424,822,2581,822,2581,798xe" filled="true" fillcolor="#0fb1dd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1717548</wp:posOffset>
            </wp:positionH>
            <wp:positionV relativeFrom="paragraph">
              <wp:posOffset>386206</wp:posOffset>
            </wp:positionV>
            <wp:extent cx="134589" cy="1353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8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1914144</wp:posOffset>
            </wp:positionH>
            <wp:positionV relativeFrom="paragraph">
              <wp:posOffset>384683</wp:posOffset>
            </wp:positionV>
            <wp:extent cx="123265" cy="14087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6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2114550</wp:posOffset>
            </wp:positionH>
            <wp:positionV relativeFrom="paragraph">
              <wp:posOffset>386206</wp:posOffset>
            </wp:positionV>
            <wp:extent cx="110793" cy="13811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2.460007pt;margin-top:30.389969pt;width:7.95pt;height:10.7pt;mso-position-horizontal-relative:page;mso-position-vertical-relative:paragraph;z-index:-15725568;mso-wrap-distance-left:0;mso-wrap-distance-right:0" id="docshape3" coordorigin="3649,608" coordsize="159,214" path="m3808,798l3678,798,3678,724,3793,724,3793,700,3678,700,3678,634,3802,634,3802,608,3649,608,3649,634,3649,700,3649,724,3649,798,3649,822,3808,822,3808,798xe" filled="true" fillcolor="#0fb1d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0"/>
        <w:ind w:left="1120"/>
      </w:pPr>
      <w:r>
        <w:rPr/>
        <w:t>July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  <w:ind w:left="1120"/>
      </w:pPr>
      <w:r>
        <w:rPr/>
        <w:t>BLM</w:t>
      </w:r>
      <w:r>
        <w:rPr>
          <w:spacing w:val="-1"/>
        </w:rPr>
        <w:t> </w:t>
      </w:r>
      <w:r>
        <w:rPr/>
        <w:t>Alaska</w:t>
      </w:r>
    </w:p>
    <w:p>
      <w:pPr>
        <w:pStyle w:val="BodyText"/>
        <w:ind w:left="1120" w:right="7017"/>
      </w:pPr>
      <w:r>
        <w:rPr/>
        <w:t>East</w:t>
      </w:r>
      <w:r>
        <w:rPr>
          <w:spacing w:val="-6"/>
        </w:rPr>
        <w:t> </w:t>
      </w:r>
      <w:r>
        <w:rPr/>
        <w:t>Alaska</w:t>
      </w:r>
      <w:r>
        <w:rPr>
          <w:spacing w:val="-6"/>
        </w:rPr>
        <w:t> </w:t>
      </w:r>
      <w:r>
        <w:rPr/>
        <w:t>RMP</w:t>
      </w:r>
      <w:r>
        <w:rPr>
          <w:spacing w:val="-5"/>
        </w:rPr>
        <w:t> </w:t>
      </w:r>
      <w:r>
        <w:rPr/>
        <w:t>Amendment/EA</w:t>
      </w:r>
      <w:r>
        <w:rPr>
          <w:spacing w:val="-57"/>
        </w:rPr>
        <w:t> </w:t>
      </w:r>
      <w:r>
        <w:rPr/>
        <w:t>222</w:t>
      </w:r>
      <w:r>
        <w:rPr>
          <w:spacing w:val="-1"/>
        </w:rPr>
        <w:t> </w:t>
      </w:r>
      <w:r>
        <w:rPr/>
        <w:t>W. 7th</w:t>
      </w:r>
      <w:r>
        <w:rPr>
          <w:spacing w:val="-1"/>
        </w:rPr>
        <w:t> </w:t>
      </w:r>
      <w:r>
        <w:rPr/>
        <w:t>Ave. Stop</w:t>
      </w:r>
      <w:r>
        <w:rPr>
          <w:spacing w:val="-1"/>
        </w:rPr>
        <w:t> </w:t>
      </w:r>
      <w:r>
        <w:rPr/>
        <w:t>13</w:t>
      </w:r>
    </w:p>
    <w:p>
      <w:pPr>
        <w:pStyle w:val="BodyText"/>
        <w:ind w:left="1120"/>
      </w:pPr>
      <w:r>
        <w:rPr/>
        <w:t>Anchorage,</w:t>
      </w:r>
      <w:r>
        <w:rPr>
          <w:spacing w:val="-4"/>
        </w:rPr>
        <w:t> </w:t>
      </w:r>
      <w:r>
        <w:rPr/>
        <w:t>AK</w:t>
      </w:r>
      <w:r>
        <w:rPr>
          <w:spacing w:val="-1"/>
        </w:rPr>
        <w:t> </w:t>
      </w:r>
      <w:r>
        <w:rPr/>
        <w:t>99513</w:t>
      </w:r>
    </w:p>
    <w:p>
      <w:pPr>
        <w:pStyle w:val="BodyText"/>
      </w:pPr>
    </w:p>
    <w:p>
      <w:pPr>
        <w:pStyle w:val="BodyText"/>
        <w:ind w:left="1120"/>
      </w:pPr>
      <w:r>
        <w:rPr/>
        <w:t>Re:</w:t>
      </w:r>
      <w:r>
        <w:rPr>
          <w:spacing w:val="-4"/>
        </w:rPr>
        <w:t> </w:t>
      </w:r>
      <w:r>
        <w:rPr/>
        <w:t>Draft</w:t>
      </w:r>
      <w:r>
        <w:rPr>
          <w:spacing w:val="-3"/>
        </w:rPr>
        <w:t> </w:t>
      </w:r>
      <w:r>
        <w:rPr/>
        <w:t>East</w:t>
      </w:r>
      <w:r>
        <w:rPr>
          <w:spacing w:val="-3"/>
        </w:rPr>
        <w:t> </w:t>
      </w:r>
      <w:r>
        <w:rPr/>
        <w:t>Alaska</w:t>
      </w:r>
      <w:r>
        <w:rPr>
          <w:spacing w:val="-3"/>
        </w:rPr>
        <w:t> </w:t>
      </w:r>
      <w:r>
        <w:rPr/>
        <w:t>RMP</w:t>
      </w:r>
      <w:r>
        <w:rPr>
          <w:spacing w:val="-3"/>
        </w:rPr>
        <w:t> </w:t>
      </w:r>
      <w:r>
        <w:rPr/>
        <w:t>Amendment/Environmental</w:t>
      </w:r>
      <w:r>
        <w:rPr>
          <w:spacing w:val="-3"/>
        </w:rPr>
        <w:t> </w:t>
      </w:r>
      <w:r>
        <w:rPr/>
        <w:t>Assessment/FONSI</w:t>
      </w:r>
    </w:p>
    <w:p>
      <w:pPr>
        <w:pStyle w:val="BodyText"/>
      </w:pPr>
    </w:p>
    <w:p>
      <w:pPr>
        <w:pStyle w:val="BodyText"/>
        <w:ind w:left="1119" w:right="1103"/>
      </w:pPr>
      <w:r>
        <w:rPr/>
        <w:t>Thank you for the opportunity to comment on the Environmental Assessment (EA) for the Draft</w:t>
      </w:r>
      <w:r>
        <w:rPr>
          <w:spacing w:val="-57"/>
        </w:rPr>
        <w:t> </w:t>
      </w:r>
      <w:r>
        <w:rPr/>
        <w:t>East Alaska Resource Management Plan Amendment. The proposed action would amend the</w:t>
      </w:r>
      <w:r>
        <w:rPr>
          <w:spacing w:val="1"/>
        </w:rPr>
        <w:t> </w:t>
      </w:r>
      <w:r>
        <w:rPr/>
        <w:t>2007 East Alaska Resource Management Plan (RMP), in order to allow the agency to conduct a</w:t>
      </w:r>
      <w:r>
        <w:rPr>
          <w:spacing w:val="-57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land exchange in the</w:t>
      </w:r>
      <w:r>
        <w:rPr>
          <w:spacing w:val="-1"/>
        </w:rPr>
        <w:t> </w:t>
      </w:r>
      <w:r>
        <w:rPr/>
        <w:t>Thompson Pass region of</w:t>
      </w:r>
      <w:r>
        <w:rPr>
          <w:spacing w:val="-1"/>
        </w:rPr>
        <w:t> </w:t>
      </w:r>
      <w:r>
        <w:rPr/>
        <w:t>Eastern</w:t>
      </w:r>
      <w:r>
        <w:rPr>
          <w:spacing w:val="-3"/>
        </w:rPr>
        <w:t> </w:t>
      </w:r>
      <w:r>
        <w:rPr/>
        <w:t>Alaska.</w:t>
      </w:r>
    </w:p>
    <w:p>
      <w:pPr>
        <w:pStyle w:val="BodyText"/>
      </w:pPr>
    </w:p>
    <w:p>
      <w:pPr>
        <w:pStyle w:val="BodyText"/>
        <w:ind w:left="1119" w:right="1036"/>
      </w:pPr>
      <w:r>
        <w:rPr/>
        <w:t>Alaska Wilderness League reviewed and commented on legislation that later passed into law as</w:t>
      </w:r>
      <w:r>
        <w:rPr>
          <w:spacing w:val="1"/>
        </w:rPr>
        <w:t> </w:t>
      </w:r>
      <w:r>
        <w:rPr/>
        <w:t>Section 1113 of the 2019 Dingell Act, and we submitted comments in January of this year on the</w:t>
      </w:r>
      <w:r>
        <w:rPr>
          <w:spacing w:val="-57"/>
        </w:rPr>
        <w:t> </w:t>
      </w:r>
      <w:r>
        <w:rPr/>
        <w:t>Notice of Intent to conduct this EA. The way your agency is reading its obligations under the</w:t>
      </w:r>
      <w:r>
        <w:rPr>
          <w:spacing w:val="1"/>
        </w:rPr>
        <w:t> </w:t>
      </w:r>
      <w:r>
        <w:rPr/>
        <w:t>Dingell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inconsistent with</w:t>
      </w:r>
      <w:r>
        <w:rPr>
          <w:spacing w:val="-1"/>
        </w:rPr>
        <w:t> </w:t>
      </w:r>
      <w:r>
        <w:rPr/>
        <w:t>law. Our</w:t>
      </w:r>
      <w:r>
        <w:rPr>
          <w:spacing w:val="-1"/>
        </w:rPr>
        <w:t> </w:t>
      </w:r>
      <w:r>
        <w:rPr/>
        <w:t>particular concerns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ind w:left="1839" w:right="1010"/>
      </w:pPr>
      <w:r>
        <w:rPr>
          <w:b/>
        </w:rPr>
        <w:t>The proposed amendment and this EA both point to a serious misreading of the</w:t>
      </w:r>
      <w:r>
        <w:rPr>
          <w:b/>
          <w:spacing w:val="1"/>
        </w:rPr>
        <w:t> </w:t>
      </w:r>
      <w:r>
        <w:rPr>
          <w:b/>
        </w:rPr>
        <w:t>Dingell Act. </w:t>
      </w:r>
      <w:r>
        <w:rPr/>
        <w:t>Section 1113 of the act requires DOI to conduct a Chugach Region Land</w:t>
      </w:r>
      <w:r>
        <w:rPr>
          <w:spacing w:val="1"/>
        </w:rPr>
        <w:t> </w:t>
      </w:r>
      <w:r>
        <w:rPr/>
        <w:t>Study to identify sufficient acres of land and provide recommendations for land exchange</w:t>
      </w:r>
      <w:r>
        <w:rPr>
          <w:spacing w:val="-57"/>
        </w:rPr>
        <w:t> </w:t>
      </w:r>
      <w:r>
        <w:rPr/>
        <w:t>options that fit certain criteria.</w:t>
      </w:r>
      <w:r>
        <w:rPr>
          <w:spacing w:val="1"/>
        </w:rPr>
        <w:t> </w:t>
      </w:r>
      <w:r>
        <w:rPr/>
        <w:t>The agency was not asked to perform or prepare a land</w:t>
      </w:r>
      <w:r>
        <w:rPr>
          <w:spacing w:val="1"/>
        </w:rPr>
        <w:t> </w:t>
      </w:r>
      <w:r>
        <w:rPr/>
        <w:t>exchange or to amend the RMP.</w:t>
      </w:r>
      <w:r>
        <w:rPr>
          <w:spacing w:val="1"/>
        </w:rPr>
        <w:t> </w:t>
      </w:r>
      <w:r>
        <w:rPr/>
        <w:t>Considering how the Dingell Act, in another section,</w:t>
      </w:r>
      <w:r>
        <w:rPr>
          <w:spacing w:val="1"/>
        </w:rPr>
        <w:t> </w:t>
      </w:r>
      <w:r>
        <w:rPr/>
        <w:t>created a land program which clearly specifies the conveyance of lands to individuals in</w:t>
      </w:r>
      <w:r>
        <w:rPr>
          <w:spacing w:val="1"/>
        </w:rPr>
        <w:t> </w:t>
      </w:r>
      <w:r>
        <w:rPr/>
        <w:t>Alaska, the absence of such language in this section makes it clear that the intent of the</w:t>
      </w:r>
      <w:r>
        <w:rPr>
          <w:spacing w:val="1"/>
        </w:rPr>
        <w:t> </w:t>
      </w:r>
      <w:r>
        <w:rPr/>
        <w:t>Dingell Act should be taken at face value, and that Congress – not the administration –</w:t>
      </w:r>
      <w:r>
        <w:rPr>
          <w:spacing w:val="1"/>
        </w:rPr>
        <w:t> </w:t>
      </w:r>
      <w:r>
        <w:rPr/>
        <w:t>should be the one to act on any findings of the Chugach land study.</w:t>
      </w:r>
      <w:r>
        <w:rPr>
          <w:spacing w:val="1"/>
        </w:rPr>
        <w:t> </w:t>
      </w:r>
      <w:r>
        <w:rPr/>
        <w:t>Contrary to this, the</w:t>
      </w:r>
      <w:r>
        <w:rPr>
          <w:spacing w:val="1"/>
        </w:rPr>
        <w:t> </w:t>
      </w:r>
      <w:r>
        <w:rPr/>
        <w:t>EA and the proposed amendment both seem to indicate the lands identified are being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 for</w:t>
      </w:r>
      <w:r>
        <w:rPr>
          <w:spacing w:val="-1"/>
        </w:rPr>
        <w:t> </w:t>
      </w:r>
      <w:r>
        <w:rPr/>
        <w:t>exchange,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 clear</w:t>
      </w:r>
      <w:r>
        <w:rPr>
          <w:spacing w:val="-2"/>
        </w:rPr>
        <w:t> </w:t>
      </w:r>
      <w:r>
        <w:rPr/>
        <w:t>misreading of the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39" w:right="1030" w:firstLine="0"/>
        <w:jc w:val="left"/>
        <w:rPr>
          <w:sz w:val="24"/>
        </w:rPr>
      </w:pPr>
      <w:r>
        <w:rPr/>
        <w:pict>
          <v:group style="position:absolute;margin-left:85.919998pt;margin-top:109.063133pt;width:505.7pt;height:45.55pt;mso-position-horizontal-relative:page;mso-position-vertical-relative:paragraph;z-index:15732736" id="docshapegroup4" coordorigin="1718,2181" coordsize="10114,911">
            <v:shape style="position:absolute;left:1718;top:2181;width:8830;height:558" type="#_x0000_t75" id="docshape5" stroked="false">
              <v:imagedata r:id="rId11" o:title=""/>
            </v:shape>
            <v:shape style="position:absolute;left:9816;top:2717;width:2016;height:375" type="#_x0000_t75" id="docshape6" stroked="false">
              <v:imagedata r:id="rId12" o:title=""/>
            </v:shape>
            <v:rect style="position:absolute;left:9885;top:2748;width:1875;height:240" id="docshape7" filled="true" fillcolor="#ffffff" stroked="false">
              <v:fill type="solid"/>
            </v:rect>
            <w10:wrap type="none"/>
          </v:group>
        </w:pict>
      </w:r>
      <w:r>
        <w:rPr>
          <w:b/>
          <w:sz w:val="24"/>
        </w:rPr>
        <w:t>The only rationale for the administration to amend the RMP is to expedite a land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exchange.</w:t>
      </w:r>
      <w:r>
        <w:rPr>
          <w:b/>
          <w:spacing w:val="1"/>
          <w:sz w:val="24"/>
        </w:rPr>
        <w:t> </w:t>
      </w:r>
      <w:r>
        <w:rPr>
          <w:sz w:val="24"/>
        </w:rPr>
        <w:t>Not only was the agency not charged with carrying out a land exchange, but</w:t>
      </w:r>
      <w:r>
        <w:rPr>
          <w:spacing w:val="1"/>
          <w:sz w:val="24"/>
        </w:rPr>
        <w:t> </w:t>
      </w:r>
      <w:r>
        <w:rPr>
          <w:sz w:val="24"/>
        </w:rPr>
        <w:t>the act itself included no timing restrictions for when an exchange should occur, which in</w:t>
      </w:r>
      <w:r>
        <w:rPr>
          <w:spacing w:val="-57"/>
          <w:sz w:val="24"/>
        </w:rPr>
        <w:t> </w:t>
      </w:r>
      <w:r>
        <w:rPr>
          <w:sz w:val="24"/>
        </w:rPr>
        <w:t>our reading leaves that decision up to a future Congress.</w:t>
      </w:r>
      <w:r>
        <w:rPr>
          <w:spacing w:val="1"/>
          <w:sz w:val="24"/>
        </w:rPr>
        <w:t> </w:t>
      </w:r>
      <w:r>
        <w:rPr>
          <w:sz w:val="24"/>
        </w:rPr>
        <w:t>If the agency insists that it must</w:t>
      </w:r>
      <w:r>
        <w:rPr>
          <w:spacing w:val="-57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Dingell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 find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3771900</wp:posOffset>
            </wp:positionH>
            <wp:positionV relativeFrom="paragraph">
              <wp:posOffset>185214</wp:posOffset>
            </wp:positionV>
            <wp:extent cx="243604" cy="247364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4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type w:val="continuous"/>
          <w:pgSz w:w="12240" w:h="15840"/>
          <w:pgMar w:top="420" w:bottom="0" w:left="320" w:right="440"/>
        </w:sectPr>
      </w:pPr>
    </w:p>
    <w:p>
      <w:pPr>
        <w:pStyle w:val="BodyText"/>
        <w:spacing w:before="76"/>
        <w:ind w:left="1840" w:right="1161"/>
      </w:pPr>
      <w:r>
        <w:rPr/>
        <w:t>undefendable – it can do so by informing Congress of the timing limitations that it faces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East</w:t>
      </w:r>
      <w:r>
        <w:rPr>
          <w:spacing w:val="-1"/>
        </w:rPr>
        <w:t> </w:t>
      </w:r>
      <w:r>
        <w:rPr/>
        <w:t>Alaska</w:t>
      </w:r>
      <w:r>
        <w:rPr>
          <w:spacing w:val="-1"/>
        </w:rPr>
        <w:t> </w:t>
      </w:r>
      <w:r>
        <w:rPr/>
        <w:t>RMP,</w:t>
      </w:r>
      <w:r>
        <w:rPr>
          <w:spacing w:val="-1"/>
        </w:rPr>
        <w:t> </w:t>
      </w:r>
      <w:r>
        <w:rPr/>
        <w:t>and not</w:t>
      </w:r>
      <w:r>
        <w:rPr>
          <w:spacing w:val="-1"/>
        </w:rPr>
        <w:t> </w:t>
      </w:r>
      <w:r>
        <w:rPr/>
        <w:t>seek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amend the</w:t>
      </w:r>
      <w:r>
        <w:rPr>
          <w:spacing w:val="-1"/>
        </w:rPr>
        <w:t> </w:t>
      </w:r>
      <w:r>
        <w:rPr/>
        <w:t>East Alaska</w:t>
      </w:r>
      <w:r>
        <w:rPr>
          <w:spacing w:val="-2"/>
        </w:rPr>
        <w:t> </w:t>
      </w:r>
      <w:r>
        <w:rPr/>
        <w:t>RMP.</w:t>
      </w:r>
    </w:p>
    <w:p>
      <w:pPr>
        <w:pStyle w:val="BodyText"/>
      </w:pPr>
    </w:p>
    <w:p>
      <w:pPr>
        <w:pStyle w:val="BodyText"/>
        <w:ind w:left="1839" w:right="1247"/>
      </w:pPr>
      <w:r>
        <w:rPr>
          <w:b/>
        </w:rPr>
        <w:t>This EA analyzes parcels selected based on the conclusions of the </w:t>
      </w:r>
      <w:r>
        <w:rPr>
          <w:b/>
          <w:i/>
        </w:rPr>
        <w:t>Chugach Region</w:t>
      </w:r>
      <w:r>
        <w:rPr>
          <w:b/>
          <w:i/>
          <w:spacing w:val="-57"/>
        </w:rPr>
        <w:t> </w:t>
      </w:r>
      <w:r>
        <w:rPr>
          <w:b/>
          <w:i/>
        </w:rPr>
        <w:t>Land Study</w:t>
      </w:r>
      <w:r>
        <w:rPr>
          <w:b/>
        </w:rPr>
        <w:t>, but the public has yet to see this study.</w:t>
      </w:r>
      <w:r>
        <w:rPr>
          <w:b/>
          <w:spacing w:val="1"/>
        </w:rPr>
        <w:t> </w:t>
      </w:r>
      <w:r>
        <w:rPr/>
        <w:t>To our knowledge the study in</w:t>
      </w:r>
      <w:r>
        <w:rPr>
          <w:spacing w:val="1"/>
        </w:rPr>
        <w:t> </w:t>
      </w:r>
      <w:r>
        <w:rPr/>
        <w:t>question has not been submitted to Congress as required, and we have not been able to</w:t>
      </w:r>
      <w:r>
        <w:rPr>
          <w:spacing w:val="1"/>
        </w:rPr>
        <w:t> </w:t>
      </w:r>
      <w:r>
        <w:rPr/>
        <w:t>view it. Assuming the study fulfills the criteria of the Dingell Act, it likely includes an</w:t>
      </w:r>
      <w:r>
        <w:rPr>
          <w:spacing w:val="1"/>
        </w:rPr>
        <w:t> </w:t>
      </w:r>
      <w:r>
        <w:rPr/>
        <w:t>analysis that would help the public comment on this EA.</w:t>
      </w:r>
      <w:r>
        <w:rPr>
          <w:spacing w:val="1"/>
        </w:rPr>
        <w:t> </w:t>
      </w:r>
      <w:r>
        <w:rPr/>
        <w:t>While we maintain that it is</w:t>
      </w:r>
      <w:r>
        <w:rPr>
          <w:spacing w:val="1"/>
        </w:rPr>
        <w:t> </w:t>
      </w:r>
      <w:r>
        <w:rPr/>
        <w:t>misguided for the administration to pursue any land exchange under the guise of</w:t>
      </w:r>
      <w:r>
        <w:rPr>
          <w:spacing w:val="1"/>
        </w:rPr>
        <w:t> </w:t>
      </w:r>
      <w:r>
        <w:rPr/>
        <w:t>complying with the Dingell Act, asking the public to comment on a specific land</w:t>
      </w:r>
      <w:r>
        <w:rPr>
          <w:spacing w:val="1"/>
        </w:rPr>
        <w:t> </w:t>
      </w:r>
      <w:r>
        <w:rPr/>
        <w:t>exchange without the full picture that the agency is relying on to craft such a</w:t>
      </w:r>
      <w:r>
        <w:rPr>
          <w:spacing w:val="1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is also inappropriate.</w:t>
      </w:r>
    </w:p>
    <w:p>
      <w:pPr>
        <w:pStyle w:val="BodyText"/>
      </w:pPr>
    </w:p>
    <w:p>
      <w:pPr>
        <w:spacing w:before="0"/>
        <w:ind w:left="1839" w:right="1070" w:firstLine="0"/>
        <w:jc w:val="left"/>
        <w:rPr>
          <w:sz w:val="24"/>
        </w:rPr>
      </w:pPr>
      <w:r>
        <w:rPr>
          <w:b/>
          <w:sz w:val="24"/>
        </w:rPr>
        <w:t>This EA contains no discussion of how or why these particular parcels were chosen,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or why other parcels are not appropriate to consider. </w:t>
      </w:r>
      <w:r>
        <w:rPr>
          <w:sz w:val="24"/>
        </w:rPr>
        <w:t>While sections 5 and 6 are</w:t>
      </w:r>
      <w:r>
        <w:rPr>
          <w:spacing w:val="1"/>
          <w:sz w:val="24"/>
        </w:rPr>
        <w:t> </w:t>
      </w:r>
      <w:r>
        <w:rPr>
          <w:sz w:val="24"/>
        </w:rPr>
        <w:t>obviously accessible due to their proximity to the highway, this EA assumes that the</w:t>
      </w:r>
      <w:r>
        <w:rPr>
          <w:spacing w:val="1"/>
          <w:sz w:val="24"/>
        </w:rPr>
        <w:t> </w:t>
      </w:r>
      <w:r>
        <w:rPr>
          <w:sz w:val="24"/>
        </w:rPr>
        <w:t>sections are also economically viable while offering no explanation or analysis as to how</w:t>
      </w:r>
      <w:r>
        <w:rPr>
          <w:spacing w:val="-57"/>
          <w:sz w:val="24"/>
        </w:rPr>
        <w:t> </w:t>
      </w:r>
      <w:r>
        <w:rPr>
          <w:sz w:val="24"/>
        </w:rPr>
        <w:t>or why this would be true. Section 1.4 of the EA, </w:t>
      </w:r>
      <w:r>
        <w:rPr>
          <w:i/>
          <w:sz w:val="24"/>
        </w:rPr>
        <w:t>Reasonably Foreseeable 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Actions</w:t>
      </w:r>
      <w:r>
        <w:rPr>
          <w:sz w:val="24"/>
        </w:rPr>
        <w:t>, states that any development that would occur would be challenged by limits of</w:t>
      </w:r>
      <w:r>
        <w:rPr>
          <w:spacing w:val="1"/>
          <w:sz w:val="24"/>
        </w:rPr>
        <w:t> </w:t>
      </w:r>
      <w:r>
        <w:rPr>
          <w:sz w:val="24"/>
        </w:rPr>
        <w:t>the steep terrain, winter snow loads and conditions, and cost of development, so it seems</w:t>
      </w:r>
      <w:r>
        <w:rPr>
          <w:spacing w:val="-57"/>
          <w:sz w:val="24"/>
        </w:rPr>
        <w:t> </w:t>
      </w:r>
      <w:r>
        <w:rPr>
          <w:sz w:val="24"/>
        </w:rPr>
        <w:t>unlikely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lands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economically</w:t>
      </w:r>
      <w:r>
        <w:rPr>
          <w:spacing w:val="-1"/>
          <w:sz w:val="24"/>
        </w:rPr>
        <w:t> </w:t>
      </w:r>
      <w:r>
        <w:rPr>
          <w:sz w:val="24"/>
        </w:rPr>
        <w:t>viable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BodyText"/>
        <w:spacing w:before="1"/>
        <w:ind w:left="1839" w:right="1042"/>
      </w:pPr>
      <w:r>
        <w:rPr>
          <w:b/>
        </w:rPr>
        <w:t>If exchanged, these lands would likely be developed in some way, and the EA fails to</w:t>
      </w:r>
      <w:r>
        <w:rPr>
          <w:b/>
          <w:spacing w:val="-57"/>
        </w:rPr>
        <w:t> </w:t>
      </w:r>
      <w:r>
        <w:rPr>
          <w:b/>
        </w:rPr>
        <w:t>explore the impacts of potential development. </w:t>
      </w:r>
      <w:r>
        <w:rPr/>
        <w:t>The language of the Dingell Act</w:t>
      </w:r>
      <w:r>
        <w:rPr>
          <w:spacing w:val="1"/>
        </w:rPr>
        <w:t> </w:t>
      </w:r>
      <w:r>
        <w:rPr/>
        <w:t>assumes that offered lands will be economically viable, or else there would be no reason</w:t>
      </w:r>
      <w:r>
        <w:rPr>
          <w:spacing w:val="1"/>
        </w:rPr>
        <w:t> </w:t>
      </w:r>
      <w:r>
        <w:rPr/>
        <w:t>to make such an exchange. The agency cannot find that impacts will be limited without</w:t>
      </w:r>
      <w:r>
        <w:rPr>
          <w:spacing w:val="1"/>
        </w:rPr>
        <w:t> </w:t>
      </w:r>
      <w:r>
        <w:rPr/>
        <w:t>an analysis of activities that might take place on lands after they are exchanged. The</w:t>
      </w:r>
      <w:r>
        <w:rPr>
          <w:spacing w:val="1"/>
        </w:rPr>
        <w:t> </w:t>
      </w:r>
      <w:r>
        <w:rPr/>
        <w:t>“Mineral Resources” section on page 29 states “it is assumed that if future development</w:t>
      </w:r>
      <w:r>
        <w:rPr>
          <w:spacing w:val="1"/>
        </w:rPr>
        <w:t> </w:t>
      </w:r>
      <w:r>
        <w:rPr/>
        <w:t>were to occur it would be low intensity and in line with the limited infrastructure and</w:t>
      </w:r>
      <w:r>
        <w:rPr>
          <w:spacing w:val="1"/>
        </w:rPr>
        <w:t> </w:t>
      </w:r>
      <w:r>
        <w:rPr/>
        <w:t>development in the Thompson Pass region.”</w:t>
      </w:r>
      <w:r>
        <w:rPr>
          <w:spacing w:val="1"/>
        </w:rPr>
        <w:t> </w:t>
      </w:r>
      <w:r>
        <w:rPr/>
        <w:t>The agency failed to back up this assertion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Draft EA.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39" w:right="1068"/>
      </w:pPr>
      <w:r>
        <w:rPr>
          <w:b/>
        </w:rPr>
        <w:t>The EA fails to discuss how this RMP amendment affects management of the larger</w:t>
      </w:r>
      <w:r>
        <w:rPr>
          <w:b/>
          <w:spacing w:val="-57"/>
        </w:rPr>
        <w:t> </w:t>
      </w:r>
      <w:r>
        <w:rPr>
          <w:b/>
        </w:rPr>
        <w:t>planning area and affects other interests.</w:t>
      </w:r>
      <w:r>
        <w:rPr>
          <w:b/>
          <w:spacing w:val="1"/>
        </w:rPr>
        <w:t> </w:t>
      </w:r>
      <w:r>
        <w:rPr/>
        <w:t>Those also affected include state and Native</w:t>
      </w:r>
      <w:r>
        <w:rPr>
          <w:spacing w:val="-57"/>
        </w:rPr>
        <w:t> </w:t>
      </w:r>
      <w:r>
        <w:rPr/>
        <w:t>Corporation entities that have selected lands in the region but await conveyance, and the</w:t>
      </w:r>
      <w:r>
        <w:rPr>
          <w:spacing w:val="1"/>
        </w:rPr>
        <w:t> </w:t>
      </w:r>
      <w:r>
        <w:rPr/>
        <w:t>unique value of these parcels in relation to the BLM’s goals for the East Alaska planning</w:t>
      </w:r>
      <w:r>
        <w:rPr>
          <w:spacing w:val="-57"/>
        </w:rPr>
        <w:t> </w:t>
      </w:r>
      <w:r>
        <w:rPr/>
        <w:t>area</w:t>
      </w:r>
      <w:r>
        <w:rPr>
          <w:b/>
        </w:rPr>
        <w:t>. </w:t>
      </w:r>
      <w:r>
        <w:rPr/>
        <w:t>Additionally, it seems highly unusual to make an amendment to an entire RMP to</w:t>
      </w:r>
      <w:r>
        <w:rPr>
          <w:spacing w:val="1"/>
        </w:rPr>
        <w:t> </w:t>
      </w:r>
      <w:r>
        <w:rPr/>
        <w:t>facilitate one land exchange, particularly when the rationale for why that initial hold on</w:t>
      </w:r>
      <w:r>
        <w:rPr>
          <w:spacing w:val="1"/>
        </w:rPr>
        <w:t> </w:t>
      </w:r>
      <w:r>
        <w:rPr/>
        <w:t>land exchanges was included in the current East Alaska RMP is not considered</w:t>
      </w:r>
      <w:r>
        <w:rPr>
          <w:spacing w:val="1"/>
        </w:rPr>
        <w:t> </w:t>
      </w:r>
      <w:r>
        <w:rPr/>
        <w:t>holistically for the region.</w:t>
      </w:r>
    </w:p>
    <w:p>
      <w:pPr>
        <w:pStyle w:val="BodyText"/>
      </w:pPr>
    </w:p>
    <w:p>
      <w:pPr>
        <w:spacing w:before="0"/>
        <w:ind w:left="1839" w:right="983" w:firstLine="0"/>
        <w:jc w:val="left"/>
        <w:rPr>
          <w:sz w:val="24"/>
        </w:rPr>
      </w:pPr>
      <w:r>
        <w:rPr>
          <w:b/>
          <w:sz w:val="24"/>
        </w:rPr>
        <w:t>The EA fails to recognize impacts to non-recreational users of the region, and 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potential environmental impacts. </w:t>
      </w:r>
      <w:r>
        <w:rPr>
          <w:sz w:val="24"/>
        </w:rPr>
        <w:t>While the EA reviews winter recreation impacts for</w:t>
      </w:r>
      <w:r>
        <w:rPr>
          <w:spacing w:val="1"/>
          <w:sz w:val="24"/>
        </w:rPr>
        <w:t> </w:t>
      </w:r>
      <w:r>
        <w:rPr>
          <w:sz w:val="24"/>
        </w:rPr>
        <w:t>the proposed land exchange, it does not provide a review of impacts to other user groups,</w:t>
      </w:r>
      <w:r>
        <w:rPr>
          <w:spacing w:val="1"/>
          <w:sz w:val="24"/>
        </w:rPr>
        <w:t> </w:t>
      </w:r>
      <w:r>
        <w:rPr>
          <w:sz w:val="24"/>
        </w:rPr>
        <w:t>along with environmental impacts that could affect BLM resources in the region. This EA</w:t>
      </w:r>
      <w:r>
        <w:rPr>
          <w:spacing w:val="-57"/>
          <w:sz w:val="24"/>
        </w:rPr>
        <w:t> </w:t>
      </w:r>
      <w:r>
        <w:rPr>
          <w:sz w:val="24"/>
        </w:rPr>
        <w:t>does not sufficiently review the potential scope of impacts to social and economic</w:t>
      </w:r>
      <w:r>
        <w:rPr>
          <w:spacing w:val="1"/>
          <w:sz w:val="24"/>
        </w:rPr>
        <w:t> </w:t>
      </w:r>
      <w:r>
        <w:rPr>
          <w:sz w:val="24"/>
        </w:rPr>
        <w:t>impacts,</w:t>
      </w:r>
      <w:r>
        <w:rPr>
          <w:spacing w:val="-3"/>
          <w:sz w:val="24"/>
        </w:rPr>
        <w:t> </w:t>
      </w:r>
      <w:r>
        <w:rPr>
          <w:sz w:val="24"/>
        </w:rPr>
        <w:t>rural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3"/>
          <w:sz w:val="24"/>
        </w:rPr>
        <w:t> </w:t>
      </w:r>
      <w:r>
        <w:rPr>
          <w:sz w:val="24"/>
        </w:rPr>
        <w:t>lifestyles,</w:t>
      </w:r>
      <w:r>
        <w:rPr>
          <w:spacing w:val="-2"/>
          <w:sz w:val="24"/>
        </w:rPr>
        <w:t> </w:t>
      </w:r>
      <w:r>
        <w:rPr>
          <w:sz w:val="24"/>
        </w:rPr>
        <w:t>subsistence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access,</w:t>
      </w:r>
      <w:r>
        <w:rPr>
          <w:spacing w:val="-2"/>
          <w:sz w:val="24"/>
        </w:rPr>
        <w:t> </w:t>
      </w:r>
      <w:r>
        <w:rPr>
          <w:sz w:val="24"/>
        </w:rPr>
        <w:t>biological</w:t>
      </w:r>
      <w:r>
        <w:rPr>
          <w:spacing w:val="-4"/>
          <w:sz w:val="24"/>
        </w:rPr>
        <w:t> </w:t>
      </w:r>
      <w:r>
        <w:rPr>
          <w:sz w:val="24"/>
        </w:rPr>
        <w:t>resources,</w:t>
      </w:r>
    </w:p>
    <w:p>
      <w:pPr>
        <w:spacing w:after="0"/>
        <w:jc w:val="left"/>
        <w:rPr>
          <w:sz w:val="24"/>
        </w:rPr>
        <w:sectPr>
          <w:footerReference w:type="default" r:id="rId14"/>
          <w:pgSz w:w="12240" w:h="15840"/>
          <w:pgMar w:footer="785" w:header="0" w:top="1280" w:bottom="980" w:left="320" w:right="440"/>
          <w:pgNumType w:start="2"/>
        </w:sectPr>
      </w:pPr>
    </w:p>
    <w:p>
      <w:pPr>
        <w:pStyle w:val="BodyText"/>
        <w:spacing w:before="76"/>
        <w:ind w:left="1840" w:right="1556"/>
      </w:pPr>
      <w:r>
        <w:rPr/>
        <w:t>cultural resources, and other reasonably foreseeable future activities. In fact, the EA</w:t>
      </w:r>
      <w:r>
        <w:rPr>
          <w:spacing w:val="-57"/>
        </w:rPr>
        <w:t> </w:t>
      </w:r>
      <w:r>
        <w:rPr/>
        <w:t>states that the planning area “has not been archaeologically investigated and could</w:t>
      </w:r>
      <w:r>
        <w:rPr>
          <w:spacing w:val="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resources”.</w:t>
      </w:r>
    </w:p>
    <w:p>
      <w:pPr>
        <w:pStyle w:val="BodyText"/>
      </w:pPr>
    </w:p>
    <w:p>
      <w:pPr>
        <w:pStyle w:val="BodyText"/>
        <w:ind w:left="1119" w:right="1051"/>
      </w:pPr>
      <w:r>
        <w:rPr/>
        <w:t>Alaska Wilderness League is broadly concerned with the lack of clarity of the development</w:t>
      </w:r>
      <w:r>
        <w:rPr>
          <w:spacing w:val="1"/>
        </w:rPr>
        <w:t> </w:t>
      </w:r>
      <w:r>
        <w:rPr/>
        <w:t>interests in the proposed parcels, valuation considerations, and how public interest in this highly</w:t>
      </w:r>
      <w:r>
        <w:rPr>
          <w:spacing w:val="1"/>
        </w:rPr>
        <w:t> </w:t>
      </w:r>
      <w:r>
        <w:rPr/>
        <w:t>important area for Alaska outdoor recreation, tourism, and subsistence uses alike would be</w:t>
      </w:r>
      <w:r>
        <w:rPr>
          <w:spacing w:val="1"/>
        </w:rPr>
        <w:t> </w:t>
      </w:r>
      <w:r>
        <w:rPr/>
        <w:t>protected should an exchange move forward. At its core, this process remains flawed because it</w:t>
      </w:r>
      <w:r>
        <w:rPr>
          <w:spacing w:val="1"/>
        </w:rPr>
        <w:t> </w:t>
      </w:r>
      <w:r>
        <w:rPr/>
        <w:t>relies on a misreading of the Dingell Act. In fact, by calling for a study and not specific land</w:t>
      </w:r>
      <w:r>
        <w:rPr>
          <w:spacing w:val="1"/>
        </w:rPr>
        <w:t> </w:t>
      </w:r>
      <w:r>
        <w:rPr/>
        <w:t>trades, the Dingell Act relays Congress’s desire to take deliberate analytical steps before specific</w:t>
      </w:r>
      <w:r>
        <w:rPr>
          <w:spacing w:val="-57"/>
        </w:rPr>
        <w:t> </w:t>
      </w:r>
      <w:r>
        <w:rPr/>
        <w:t>action, which BLM upends with its current approach. We urge the agency to suspend this</w:t>
      </w:r>
      <w:r>
        <w:rPr>
          <w:spacing w:val="1"/>
        </w:rPr>
        <w:t> </w:t>
      </w:r>
      <w:r>
        <w:rPr/>
        <w:t>expedited and flawed process and instead focus on what the Dingell Act requires the agency to</w:t>
      </w:r>
      <w:r>
        <w:rPr>
          <w:spacing w:val="1"/>
        </w:rPr>
        <w:t> </w:t>
      </w:r>
      <w:r>
        <w:rPr/>
        <w:t>do and when: study use patterns in the region now and offer land exchange recommendations to</w:t>
      </w:r>
      <w:r>
        <w:rPr>
          <w:spacing w:val="1"/>
        </w:rPr>
        <w:t> </w:t>
      </w:r>
      <w:r>
        <w:rPr/>
        <w:t>Congress in the future for their potential action. At this time, we urge the BLM to take the No</w:t>
      </w:r>
      <w:r>
        <w:rPr>
          <w:spacing w:val="1"/>
        </w:rPr>
        <w:t> </w:t>
      </w:r>
      <w:r>
        <w:rPr/>
        <w:t>Action</w:t>
      </w:r>
      <w:r>
        <w:rPr>
          <w:spacing w:val="-2"/>
        </w:rPr>
        <w:t> </w:t>
      </w:r>
      <w:r>
        <w:rPr/>
        <w:t>alternative outlined in this EA.</w:t>
      </w:r>
    </w:p>
    <w:p>
      <w:pPr>
        <w:pStyle w:val="BodyText"/>
      </w:pPr>
    </w:p>
    <w:p>
      <w:pPr>
        <w:pStyle w:val="BodyText"/>
        <w:ind w:left="1119"/>
      </w:pPr>
      <w:r>
        <w:rPr/>
        <w:t>Thank you for your consideration,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85" w:top="1280" w:bottom="980" w:left="320" w:right="440"/>
        </w:sectPr>
      </w:pPr>
    </w:p>
    <w:p>
      <w:pPr>
        <w:pStyle w:val="BodyText"/>
        <w:spacing w:before="90"/>
        <w:ind w:left="1119" w:right="1067"/>
      </w:pPr>
      <w:r>
        <w:rPr/>
        <w:t>Andy Moderow</w:t>
      </w:r>
      <w:r>
        <w:rPr>
          <w:spacing w:val="-57"/>
        </w:rPr>
        <w:t> </w:t>
      </w:r>
      <w:r>
        <w:rPr/>
        <w:t>State Director</w:t>
      </w:r>
    </w:p>
    <w:p>
      <w:pPr>
        <w:pStyle w:val="BodyText"/>
        <w:spacing w:before="1"/>
        <w:ind w:left="1119"/>
      </w:pPr>
      <w:r>
        <w:rPr/>
        <w:t>Alaska</w:t>
      </w:r>
      <w:r>
        <w:rPr>
          <w:spacing w:val="-3"/>
        </w:rPr>
        <w:t> </w:t>
      </w:r>
      <w:r>
        <w:rPr/>
        <w:t>Wilderness</w:t>
      </w:r>
      <w:r>
        <w:rPr>
          <w:spacing w:val="-2"/>
        </w:rPr>
        <w:t> </w:t>
      </w:r>
      <w:r>
        <w:rPr/>
        <w:t>League</w:t>
      </w:r>
    </w:p>
    <w:p>
      <w:pPr>
        <w:pStyle w:val="BodyText"/>
        <w:spacing w:before="90"/>
        <w:ind w:left="1119"/>
      </w:pPr>
      <w:r>
        <w:rPr/>
        <w:br w:type="column"/>
      </w:r>
      <w:r>
        <w:rPr/>
        <w:t>Maddie</w:t>
      </w:r>
      <w:r>
        <w:rPr>
          <w:spacing w:val="-14"/>
        </w:rPr>
        <w:t> </w:t>
      </w:r>
      <w:r>
        <w:rPr/>
        <w:t>Halloran</w:t>
      </w:r>
    </w:p>
    <w:p>
      <w:pPr>
        <w:pStyle w:val="BodyText"/>
        <w:ind w:left="1119" w:right="1717"/>
      </w:pPr>
      <w:r>
        <w:rPr/>
        <w:t>Manager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Alaska</w:t>
      </w:r>
      <w:r>
        <w:rPr>
          <w:spacing w:val="-7"/>
        </w:rPr>
        <w:t> </w:t>
      </w:r>
      <w:r>
        <w:rPr/>
        <w:t>Campaigns</w:t>
      </w:r>
      <w:r>
        <w:rPr>
          <w:spacing w:val="-57"/>
        </w:rPr>
        <w:t> </w:t>
      </w:r>
      <w:r>
        <w:rPr/>
        <w:t>Alaska</w:t>
      </w:r>
      <w:r>
        <w:rPr>
          <w:spacing w:val="-2"/>
        </w:rPr>
        <w:t> </w:t>
      </w:r>
      <w:r>
        <w:rPr/>
        <w:t>Wilderness</w:t>
      </w:r>
      <w:r>
        <w:rPr>
          <w:spacing w:val="-1"/>
        </w:rPr>
        <w:t> </w:t>
      </w:r>
      <w:r>
        <w:rPr/>
        <w:t>League</w:t>
      </w:r>
    </w:p>
    <w:sectPr>
      <w:type w:val="continuous"/>
      <w:pgSz w:w="12240" w:h="15840"/>
      <w:pgMar w:header="0" w:footer="785" w:top="420" w:bottom="0" w:left="320" w:right="440"/>
      <w:cols w:num="2" w:equalWidth="0">
        <w:col w:w="3733" w:space="1307"/>
        <w:col w:w="6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41.726624pt;width:13pt;height:15.3pt;mso-position-horizontal-relative:page;mso-position-vertical-relative:page;z-index:-15782400" type="#_x0000_t202" id="docshape8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MaddieHalloran</dc:creator>
  <dc:title>Microsoft Word - East AK BLM EA comments_FINAL.docx</dc:title>
  <dcterms:created xsi:type="dcterms:W3CDTF">2021-07-12T17:36:43Z</dcterms:created>
  <dcterms:modified xsi:type="dcterms:W3CDTF">2021-07-12T17:36:43Z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2021-07-12T00:00:00Z</vt:filetime>
  </property>
</Properties>
</file>